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Boulangerie / pâtisserie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Fournil — pétrissage &amp; cuisson, Pétrissage, façonnage, enfournement, cuisson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Brûlures (four, plaques, vapeur d'enfournement)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 et manches anti-chaleur, tenue couvrante ; Signalisation des surfaces chaudes, enfourneur adapté ; Premiers secours brûlures accessibles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Poussières de farine (asthme et rhinite du boulanger)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Versement lent, aspiration/captage des poussières au pétrin ; Farines peu émissives, fleurage maîtrisé ; Masque FFP adapté, suivi médical respiratoire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Happement (pétrin, batteur, façonneuse, laminoir, diviseuse)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Protecteurs et grilles en place, arrêt cuve à l'ouverture ; Consignation avant nettoyage / intervention ; Formation et habilitation par machine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TMS : gestes répétitifs, port de charges, postures de façonnage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Aides mécaniques (lève-cuve, fariner mécanique) ; Plans de travail à hauteur, rotation des tâches ; Échauffement, micro-pauses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charges (sacs de farine, bacs, chariots de cuisson)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Sacs de format réduit, transpalette, chariots ; Stockage à bonne hauteur, fractionnement ; Gestes et postures formés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Forte chaleur au fournil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Ventilation / extraction, hydratation ; Adaptation des horaires (travail tôt), pauses ; Rotation aux postes chauds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Horaires de nuit et décalés, fatigue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Plannings anticipés, repos respectés ; Suivi médical du travail de nuit ; Organisation limitant l'isolement nocturne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Pâtisserie / laboratoire, Préparations, cuisson fine, dressage, travail au froid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Coupures et happement (couteaux, robots, trancheurs)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Protecteurs des robots, gestes formés ; Couteaux entretenus et rangés ; Consignation au nettoyage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Brûlures (cuisson, sucre/caramel, friture)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EPI anti-chaleur, manipulation sécurisée du sucre cuit ; Signalisation des contenants chauds ; Premiers secours brûlures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au froid (laboratoire, glaces, chambre froide)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Vêtements adaptés, limitation du temps de froid ; Rotation, pauses en zone tempérée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Gestes répétitifs de dressage, postures fines prolongées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Plans à bonne hauteur, sièges assis-debout ; Rotation des tâches, micro-pauses ; Outillage adapté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Vente — comptoir &amp; caisse, Accueil, vente, tranchage, encaissement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Station debout prolongée, gestes répétitifs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Tapis anti-fatigue, siège assis-debout ; Comptoir et caisse à bonne hauteur ; Rotation et pauses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Coupures (trancheuse à pain, couteaux)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Protecteur de la trancheuse en place ; Entretien et rangement des lames ; Formation à l'usage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Relation client, file d'attente, incivilités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Renfort aux heures de pointe ; Procédure de soutien après incident ; Formation gestion des conflits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